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funding for textbooks, supplies and materials for Art, Music, and Athletics are allocated to the schools on a per pupil basis using the next year’s projected enrollment. Contractual services are budgeted on the basis of continuing needs. Other expenses for BOCES, administrative expenses, debt, salary, benefits, and other district wide codes are budgeted by the business office using estimated expenses and prior year actuals.  Special Education and ELL expenses are budgeted by the PPS office using individual student projected expenses.  This is reflected in both the required staffing levels at the respective buildings as well as in any needed out-of-district program expenses. Building budgets, Transportation, Facilities, Personnel, Board of Ed, Curriculum and Instruction, are all budgeted by the respective administrator in charge, based on a review of projected expenses with reference to prior year’s actual expenses. For most departments, the 2022-23 budget was built on a zero-based budgeted process. The school buildings are provided a total amount “guide” that is on a per pupil basis with adjustments annually for enrollment changes as well as a CPI increase. Any recommendations for new programs and/or changes in staffing levels are submitted to the Deputy Superintendent.  These changes are reviewed with the District Cabinet with recommendations ultimately being made to the Board of Education. All equipment requests are accompanied by detailed information in the budget code which specifies if it is new or replacement equipment and, if replacement, a description of what it is replacing.  Salaries and benefits increases are based on contractual obligations with modifications for any known specific changes in personnel (i.e. a retirement).  From an overall budgeting perspective the major controls regarding the overall framework of the budget include: the NYS tax cap, the projected state aid (initially based on the governor’s budget and ultimately the budget approved by the legislature) as well as a sustainable inclusion of savings (fund balance and/or reserves).  We continue to make a concerted effort again to develop a budget that minimizes any variance from the actual expenditures while at the same time including monies for unknown contingencies.   Additionally we have been allocating specific federal dollars from stimulus based on a plan developed with board and community input trying to maximize the dollars to classrooms and schools based on specific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unique aspect of West Irondequoit is the K-3 neighborhood model.  They are small schools with only 2 sections per grade.  Small changes in staffing, experience (which influences rate of pay) or both can have a large swing as compared to other buildings or a district-wide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