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The budget development process is facilitated by the Superintendent and the Director of Business, Finance, and Facilities. The process begins in November of each year and carries through to the budget vote in May. Throughout this time district stakeholders meet and plan to develop a budget that is fiscally responsible as well as meets the needs of the school community it serves. During the process the various stakeholder groups meet to analyze the past two years of a school’s expenses and use data to project general education and special education needs of students and programs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Collaboration with Stakeholders: Stakeholder groups include school and district level administrators, central office staff, department supervisors, pupil support personnel, grade level instructional leaders, and grade level special education leaders that come together to discuss and plan for the needs of students. This mix of district level and building level team members ensures that the district’s needs are met as well as ensuring that building level and program level needs are being met.  District/Building level administrators and the Board of Education work collaboratively to develop board, district, and building goals that drive the direction of the district and play an important part in the development of the district’s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Formulaic Methodology: The district does not use a formula to allocate funds to individual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