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A-The School Business Manager leads the budget development process. The needs of students are translated into the budget through coordination with the School Superintendent and Building administrators during the budget development process. The budget development process begins in October and concludes in May.
</w:t>
      </w:r>
    </w:p>
    <w:p>
      <w:pPr>
        <w:ind w:left="720"/>
      </w:pPr>
      <w:r>
        <w:rPr>
          <w:rFonts w:ascii="Garamond" w:hAnsi="Garamond"/>
        </w:rPr>
        <w:t>B-The School Business Manager, Superintendent, Principals, Director of Transportation, Technology Director, Facilities Director and CSE Chair are involved in the budget development process, with assistance from other staff as needed. The Board's finance committee as well as the full board meet periodically with the Business Manager and Superintendent during the budget development process for input and discussion. The School Board ultimately adopts the recommended budget.  Principals represent the needs of individual buildings.
</w:t>
      </w:r>
    </w:p>
    <w:p>
      <w:pPr>
        <w:ind w:left="720"/>
      </w:pPr>
      <w:r>
        <w:rPr>
          <w:rFonts w:ascii="Garamond" w:hAnsi="Garamond"/>
        </w:rPr>
        <w:t>C-No district forumla.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