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starts in early December and is led by the Assistant Superintendent for Business in consultation with the other Assistant Superintendents and the Audit and Finance Committee. All building principals and Directors are consulted and collaborated with in building the budget. There is no specific formula used to allocate to each building, it's based on needs and prior year budgets. If a significant increase is being requested, the requestor must provide evidence of the need and defend it to the Superintendent and the board if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Every building is allocated a budget based on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