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along with conversations with the Superintendent initiates the budget early in December with salaries, benefits, debt service, known contractual costs and estimates based on historical data.  Revenue is determined base on best guesses at the time before the governor's budget comes out in January.  The working copy of the budget is presented to the Board in January.  Discussions are then held on tax impact and the districts educational goals.  Principals along with other Department Heads then review options for extraordinary request for curriculum needs, equipment replacement, textbooks, etc.  The second version of the budget with changes recommended is presented to the Board and public in February.  Final discussions are held on impact and needs of the district.  In March or April the budget is adopted by the board.  This is determined by where we are in the State Aid process and how we think that will impact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Like many districts our size, salaries and benefits for the direct care staff is the main driving factor in any of the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