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and Central Administration have regular stakeholder meetings through the year including meetings with all building-based PTA units, PTA Counsel, SEPTA, groups representing musical interests, sports interest, and the local senior citizen’s organization. Using input from these listening sessions, data-driven educational decisions and financial analysis, the Assistant Superintendent, working under the direction of the Superintendent, develops a “Superintendent’s Proposed Budget that is presented to the Board of Education every February. The Board of Education then goes through a thorough review process with public conversations including a minimum of four open budget workshops, deliberations and edits to the proposal occurring in March and April. The Board of Education is provided presentations from each building’s administration and department leaders regarding their portion of the proposed budget and must field critical questions from the Board of Education. The Board of Education adopts their proposed budget in April for presentation to voters in May of each year.
</w:t>
      </w:r>
    </w:p>
    <w:p>
      <w:pPr>
        <w:ind w:left="720"/>
      </w:pPr>
      <w:r>
        <w:rPr>
          <w:rFonts w:ascii="Garamond" w:hAnsi="Garamond"/>
        </w:rPr>
        <w:t>The Plainview-Old Bethpage Central School District develops its annual budget on a needs basis that is, in large part, driven by school enrollment. District administration evaluates data on student performance, service needs in areas such as special education, academic intervention services, English as a New Language, gifted and talented, etc., programmatic initiatives, facilities needs and improvements.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Plainview-Old Bethpage Central School District has four K - 4 elementary schools: Judy Jacob Parkway, Old Bethpage, Pasadena and Stratford Road. The Stratford Road School has a greater per pupil allocation than the average for our elementary schools because it houses most of our elementary level high needs special education programs. There are roughly twice the number of SWD's in Stratford Road than in Pasadena; which has a similar total enrollment. In addition, many of these SWD's are in 12:1:1 or 6:1:1 educational settings.
</w:t>
      </w:r>
    </w:p>
    <w:p>
      <w:pPr>
        <w:ind w:left="720"/>
      </w:pPr>
      <w:r>
        <w:rPr>
          <w:rFonts w:ascii="Garamond" w:hAnsi="Garamond"/>
        </w:rPr>
        <w:t>
</w:t>
      </w:r>
    </w:p>
    <w:p>
      <w:pPr>
        <w:ind w:left="720"/>
      </w:pPr>
      <w:r>
        <w:rPr>
          <w:rFonts w:ascii="Garamond" w:hAnsi="Garamond"/>
        </w:rPr>
        <w:t>The District has two middle schools hosting grades 5 – 8: HB Mattlin Middle School and Plainview-Old Bethpage Middle School. Funding per pupil in HB Mattlin is greater than Plainview-Old Bethpage Middle School because it hosts a greater number of high need SWD’s and it has a higher percentage of senior staff members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