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commences during November of the previous budget year and is led by the Superintendent for Schools and Assistant Superintendent for Finance and Operations. The district’s central administration, building principals along business office staff such as the Assistant Business Official have integral roles in the creation of the budget. This is a five to six month process and includes continual extensive participation and decision making from the Board of Education. Needs of the students are always paramount and serve as the foundation to the creation of the budget. Each stakeholder brings their own perspective to the needs of a district and how to accomplish the goals set forth to be in compliance with the district’s mission statement. 
</w:t>
      </w:r>
    </w:p>
    <w:p>
      <w:pPr>
        <w:ind w:left="720"/>
      </w:pPr>
      <w:r>
        <w:rPr>
          <w:rFonts w:ascii="Garamond" w:hAnsi="Garamond"/>
        </w:rPr>
        <w:t>
</w:t>
      </w:r>
    </w:p>
    <w:p>
      <w:pPr>
        <w:ind w:left="720"/>
      </w:pPr>
      <w:r>
        <w:rPr>
          <w:rFonts w:ascii="Garamond" w:hAnsi="Garamond"/>
        </w:rPr>
        <w:t>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enrollment drives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