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and management services is the designated individual to oversee the entire budget process. The process begins with the audit committee of the board of education reviewing the budget development calendar in October. Once the calendar has been approved by the board of education the assistant superintendent of finance works with a core team within the business office to prepare preliminary budget documents (district treasurer and principal account clerk). These documents are shared with building level principals (seven in total) and directors (six in total) at the end of October. The principals and directors are then responsible for engaging their stakeholders in the budget process within their buildings. Building level preliminary budgets are due to the assistant superintendent of finance by the third week in November. The directors budgets are due to the assistant superintendent of finance by the third week in December. Once all preliminary budgets have been received, individual meetings with upper level management (superintendent and assistant superintendents) are arranged to discuss them. The second week in January the audit committee of the board of education is given the preliminary budget based on all requests and they begin to analyze the expenditure requests based on current revenue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Lockport city School District is a small city school district with a high poverty level averaging 60%. To ensure our students are provided with the best programming available to meet their social emotional needs each elementary school offers specialized programs. One elementary school has a specialized program for all K-4 ELL students, two elementary schools have specialized programs for self contained SWD. This allows the district to focus specialized resources in a greater number to help these students achieve. The district also contracts with a local provider to oversee the UPK program. Roy B Kelley appears significantly lower in the per student spending than the other three K-4 elementary schools (Anna Merritt, Charles Upson and George Southard) as that particular school does not contain the specialized programs for ELL or SWD. That in part is because that particular building has the highest K-4 enrollment. The district has completed a census of all eligible students and will be putting together a committee of stakeholders to consider "redrawing" the attendance zone lines to even out the enrollment counts in the K-4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financial transparency document reflects the large influx of federal grant dollars from the American Rescue Plan Act. Usage of these dollars has increased the per pupil spending significantly as the district addresses learning loss and mental health issues resulting from the COVID-19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