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only has one school building. The principals and departmental leaders are part of the budgetary process.  The school board meets monthly to develop the budget with the superintendent based on principal and departmental needs. There is only one building, so all funds go to the one building. Since there is only one building, there is no need for allocating funds to individual schools or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Since there is only one building, the per pupil costs are higher as all students receive tier 1 and tier 1 interventions.  The one building represents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only has one school in their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