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Superintendent and Board of Education, in conjunction with and guidance of the Director of Finance, begin the budget development process in December. This is at least a four month long process, with many versions and fluctuations until completion. The needs of each school building as it relates to student demographics is the primary driver for allocation of funds between grade levels. The educational challenges and needs of certain cohorts are the focus when targeting funds to best address the needs of our students,  and that has the tendency to change from year to year. Therefore, there is no distinct methodology for allocation of funds. Rather, collaborative meetings with all stakeholder groups, including administration, counseling, and curriculum development committees, along with child study teams, lead the recommendations for building the budget to best serve our students.</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As stated above, our Students with Disabilities population has a tendency to drive many budgetary decisions, and this fluctuates each year between school buildings. The fluid nature of this demographic is challenging and, in many cases costly, to ensure we best meet the needs of this population. Complicating matters are the mental health issues which appear as well, and are a contributing factor when finding and keeping appropriate placements. Supplementing family resources is a much needed addition as well.</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No anomalies noted.</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