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We first get our overall direction from the BoE sometime in January. After receiving input from the teachers on their expected spend, we factor in any new rate increases for health, dental, etc compared to previous year spending rates. The current actual trend rate is reviewed and compared to the current budget. The biggest driver is salaries which are reviewed against the teacher's contract.  The first iteration is presented to the board in March and it is tweaked several times until  finally approved by the board in April, which is then presented to the taxpayers for vote approval in May.</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