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Building budgets are developed using current program and enrollment data as well as student success rates. Additional costs are considered on an annual basis to address program enhancements and any weaknesses, if identified. Negotiated increases for building staff along with general and instructional supply allocations for each staff member are also a consideration in individual building budgets. The District has established a District-wide supply and equipment line to support one time building/program needs/improvements. The District budgets in a manner to protect unanticipated enrollment and staffing changes mid-year.  The District also utilizes any year-end excess fund balance to secure reserves for the future financial stability of the district. We work to offset increases within the budget with reductions in other areas to stay within the allowable tax levy limit calculation.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Cassavant Elementary and Freeville Elementary do not need/have extensive Special Education costs due to the enrollment size and demographics of those two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