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Assistant Superintendent for Finance leads the budget development, along with the Superintendent and in coordination with district administrators. Zero based budgeting is practiced with regards to department needs. School building allocations are used to distribute discretionary funds using a per pupil amount. Additional funds are provided for district initiatives and special projects, above the building allocation.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Expense variances in discretionary spending is due to student enrollment fluctuations. Personnel related expenses may be different depending on years of service of individual staff and where they are on the salary schedule.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