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makes budgetary decisions based on the needs of the students, staff and buildings. The administrators  incorporate the long-range strategic plan, the multi-year financial and facilities plans, the Special Education Plan, the Technology Plan and the Guidance Plan into the budget. The School Board recognizes the importance of appropriate class sizes in maintaining excellence in education. Through negotiations, the District has a guideline for class size for K-12. While preparing the budget, we use the projected enrollment per grade and per school to staff each school. Working together with the building administrators, we determine the classroom sections for each school, and the per pupil cost for each level; elementary schools, middle schools, and the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