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and Administrative Team lead the Budget Development process. Each year the two buildings are allocated a set dollar amount based on historical spending patterns.  The building Principals are responsible for determining how the money will be divided between the grade levels and classrooms based on need.  The budget development process is ongoing all year, but typically formally begins in October until the May budget vote. 
</w:t>
      </w:r>
    </w:p>
    <w:p>
      <w:pPr>
        <w:ind w:left="720"/>
      </w:pPr>
      <w:r>
        <w:rPr>
          <w:rFonts w:ascii="Garamond" w:hAnsi="Garamond"/>
        </w:rPr>
        <w:t>B. Board of Education, Administrative Team, and Department Supervisors are all involved in the budget development process. The Board of Education provides guidance on the parameters and are routinely advised and updated throughout the process. The Principals represent their respective buildings. 
</w:t>
      </w:r>
    </w:p>
    <w:p>
      <w:pPr>
        <w:ind w:left="720"/>
      </w:pPr>
      <w:r>
        <w:rPr>
          <w:rFonts w:ascii="Garamond" w:hAnsi="Garamond"/>
        </w:rPr>
        <w:t>C. There is no formula for allocating funds to each building, but the historical costs and upcoming year needs are considered during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ARP ESSER, GEER grant funding is causing significant changes in current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