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Afton Central School District uses a zero-based budget approach to funding.   Each year the Administration Team meets with the Superintendent, the Business Manager, Cabinet and the BOE Budget Committee to define program requirements &amp; goals and the funding necessary to achieve these objectives.  In conjunction with this assessment the BOE sets specific academic goals &amp; objectives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unemployment) and the overall appropriation budget becomes clearer.  During February to March, the BOE and the Administration Team continues to review both draft revenue &amp; appropriation budgets, available reserves, tax cap calculations, prioritizes new initiatives and sets budget parameters and resources based on estimated projected state funding.   Afton Central School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 noted above, we do not have budget limitations on our schools. The higher spending per pupil in the High School is reflective of a larger student course offerings and smaller classes for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