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administrator in collaboration with the superintendent and assistant superintendents leads the budget development process.  The budget process begins in October with a review of the budget calendar and the district's long-range financial plan.  Staffing recommendations are made by building leaders to the director of staff relations based on projected student enrollments in December.  Funding and staffing decisions are adjusted based on student needs which include; poverty measures, projected ELL students, the number of students with disabilities and student achievement at each building.  After the state aid proposal is released in January, the budget is adjusted accordingly.  The board of education takes an active role in the budget process from January - April as outlined in the district's budget calendar.  The board of education considers the educational needs of the district and the potential tax impact on the community during the budget process.  Teachers are an integral part of the budget process.  They submit budget requests in the early fall for supplies and materials.  Support staff supervisors and the athletic director also have an important role in the budget.  Transportation, safety, technology and custodial maintenance budgets are reviewed early in the budget process to ensure smooth operations.  In general, budget development decisions are based on the student needs described above but a formula is not in use at this time.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has its own "in-house" special education program.  The district has recently expanded the use of summer school programs and learning institutes after school to assist with COVID related learning gaps that may have been created.  The middle school uses a teaming approach for all students which results in the need for additional staffing and supports. The middle school has also recently added additional counseling services.  The middle school enrollment has decreased by approximately 30 students and it has a more experienced staff. These factors provide a plausible explanation regarding the higher expenditure per pupil figure at the middle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