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South Glens Falls CSD uses a per pupil method of developing building budgets for supplies, contractual expenses, textbooks, computer software, field trips, etc. Per pupil allocations are set for elementary, middle school and senior high schools in November prior to the start of the next year's budget. Building budgets are also weighted for special education services based on the number of special education students in each building and level of services.  Additional weighted budgetary allocations are added to each building for special education students.  Allocations are based on the level of service required for special education classes and/or students' Individual Education Plans.  The district is following the guidelines provided to budget for the GEERS and ESSR funds.  This includes spending for learning loss, social and emotional development, Tier I intervention, etc.</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