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and the School Business Manager lead the budget development process with the help of other administrators.  Updates are given to the Board of Education and the Audit, Budget and Finance Committee throughout the duration of this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Throughout the budget development process several factors are weighed into the needs for all students.  Some of these areas include special education needs (IEP's), class sizes, new program offerings, equipment/furniture replacement plans, and other needs.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school district is always budgeting and planning for the future.  District administrators start planning for the next year's budget in late September or early October and does not end until around April until the Board of Education adopts the budget for the tax payers to vote upon on the third Tuesday in May.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District employees that are involved in the budget development process include but are not limited to, the Superintendent, School Business Manager, School Principals, Curriculum Coordinators, Director of Learning, Coordinator for Instructional Technology, Director of Facilities and other administrative staff.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does not use a formula to allocate funds to individual schools.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The district does not use a formula for budgeting of student needs.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approves a budget calendar in the beginning of the school year.  The School Board is given many updates throughout the budget development process and weighs the needs of students with a possible increase in the local tax levy based on the tax cap calculation.  The School Board provides input on possible areas of focus and serves as a liaison for the community.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building administrators are the main source of representation for the needs of individual buildings.  Faculty and staff report directly to them and then the needs are distributed to the District Office for further evaluation.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There is no material difference in spending from school to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There are no items in which the district feels is anomalous in nature.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