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superintendent in conjunction with the three assistant superintendents meet with building level administration and department directors.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Each building level admin is provided a per pupil allocation based on projected enrollment for the coming school year as a basis for the building specific budget allocation.  This figure does not include staffing requirements.  Staffing is bargaining unit contract dependent and budgeted at the district level.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The budget development process begins in early December and continues through Board adoption typically in mid April.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Prior to budget review with District level administration, building level administration meets with department chairs and key building staff to formulate budgetary requests.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budget is presented to the Board and the community beginning in early February, budget adoption typically occurs in mid April.  During this period of time the Board participates in budget review of all areas and is afforded the opportunity to inquire and comment on budget allocations.  The community is also provided the opportunity to participate in at least one question and answer session focused specifically on budget.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Building level administration in addition to department level directors: technology, special education, facilities, athletics, health services, food service and security.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grade levels progress from elementary to secondary the per pupil cost allocation slightly increases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anticipates additional expenditures due to COVID-19 that will not continue in future years.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