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each year's budget is developed, the administrators and Board of Education meet to determine the needs of each building based on program requirements, enrollment, special education needs, district goals.  This year determinations were also made regarding needs for social and emotional needs and academic intervention needs.
</w:t>
      </w:r>
    </w:p>
    <w:p>
      <w:pPr>
        <w:ind w:left="720"/>
      </w:pPr>
      <w:r>
        <w:rPr>
          <w:rFonts w:ascii="Garamond" w:hAnsi="Garamond"/>
        </w:rPr>
        <w:t>
</w:t>
      </w:r>
    </w:p>
    <w:p>
      <w:pPr>
        <w:ind w:left="720"/>
      </w:pPr>
      <w:r>
        <w:rPr>
          <w:rFonts w:ascii="Garamond" w:hAnsi="Garamond"/>
        </w:rPr>
        <w:t>Some of the expenses were allocated based on enrollment, and some based on actual placement.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