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does not use a formula to allocate funds to the 7 schools that we have. The building principals and directors meet with the Assistant Supt. for Business to go over their plan and needs for the following school year. Staffing needs are also done with the Assistant Supt for Personnel and the Superintendent. Once all the figures are rolled up and analyzed including State aid and our tax cap number we will have numerous presentations to the Board of Education and the community. Unfortunately the tax cap has driven the budget process since there are many programs that we would like to initiate we can not go over the CAP.</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