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Business Administrator lead the budget development process. The needs of the students are derived from building principal’s discussion with teachers. At the elementary school the principal has those discussions at grade level, but also includes special areas such as physical education, art, and music. In the junior/senior high school the principal has those discussions with subject level teachers (i.e.- math department, science, social studies, english, guidance, etc.).  The budget development process begins in mid-November and ends with the adoption of the budget by the Board of Education on or about April 1.  District employees involved in the budget development process include grade level and subject level teachers, 2 building principals, the director of instruction, the director of special education/CSE chair, the directors of transportation, food service, and facilities, the business administrator, and superintendent.  The role of the school board is represented by 3 members who sit on the district's budget committee. This committee is comprised of 3 BOE members and district administration.  Other school board members are updated on the progress of the budget committee throughout the budget development process and have the ability to ask questions and provide input when briefed.  The building principals represent the needs of the individual buildings throughout the budget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