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started by a review of Educational Goals and Programming between the Superintendent, Business Administrator, and the Board of Education beginning in October. Starting in December a rollover budget is created and building principals, Assistant Superintendent, Coordinator of Special Education, Athletic Director, Head Cleaner, Head Maintenance, Head Mechanic, Technology Department, and Director of Food Service are brought into the discussion of specific needs and allocations are given to each department by March 1.  Department Chairpersons, Head Coaches, and other staff are then given their allocations and discussions begin around budget needs.  A budget is then presented in April for Board of Education approval followed by community approval in May.  Student needs are the ultimate variable in the budgeting process. Given our students, the best educational experience possible is the driving force of any budget cycle.  The Board of Education's major role in the budgeting process is to ensure that the needs of and overlaying opinions of the community are upheld in the budget process. The Board does not play a line-by-line budgeting role but makes the final determination of budgeting priorities, and the amount spent especially in regards to taxation.
</w:t>
      </w:r>
    </w:p>
    <w:p>
      <w:pPr>
        <w:ind w:left="720"/>
      </w:pPr>
      <w:r>
        <w:rPr>
          <w:rFonts w:ascii="Garamond" w:hAnsi="Garamond"/>
        </w:rPr>
        <w:t>The District looks at the previous five years of budgets to determine the allocation of spending. We also look at the needs of specific students at each grade and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