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development process, building-level administrators develop a “wish list” of spending priorities and review these with the Superintendent.  The Superintendent evaluates each of the building-level administrators’ proposals and determines priorities across the district as a whole.  The Assistant Superintendent of Administrative Services develops a baseline expenditure budget which essentially calculates the estimated expenditures of maintaining current programming while also incorporating any expenditure reductions associated with the elimination/reduction of inefficient programming.  As projected revenue data (esp. State Aid) becomes available, the revenue budget is sharpened.  The revenue and expenditure budgets continue to be fine-tuned throughout the budget process.  If projected revenues exceed expenditures, the Superintendent and Board of Education evaluate the feasibility of adding staff and programming, based upon the building-level priorities that were established.  The District does not utilize formulae in order to calculate building allocations.  Development of the budget generally begins in December and commences with the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