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provides each school building with an initial allocation of funds based on enrollment.  These funds are appropriated to several basic functional areas: supervision, instruction, media and co-curricular activities.  Each school building's actual spending is evaluated annually prior to the start of "budget season" to determine if the allocation needs to be increased.  School building allocations are also adjusted to reflect new instructional programs and student services that will be implemented in the building.  An allocation increase covers all anticipated costs associated with the program and/or service.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operates programs that are housed in certain buildings and not necessarily operated on a district-wide basis.  The Commack Road Elementary School provides ENL services for students in grades 2 through 5.  These services are not offered in the Sherwood Elementary School, which is also grades 2 through 5.  A greater percentage of students grades 2 through 5 receive special education services at Sherwood Elementary School (resource room, integrated co-teaching, and special classes-self contained), whereas the Commack Road Elementary School offers students only resource room and integrated co-teaching classes.  The Wing Elementary School (grades K through 1) operates a REACH program (8:1:3).  This program is designed for significantly developmentally delayed students with disabilities. This program is designed to service students in-district rather than sending them to out-of-district locations.  As students age out of the Wing School,  the District has been expending the program as they enter and progress through the Sherwood School.  The High School budget allocations reflect initiatives for College &amp; Career Readiness.  Programs funded at the High School include academies and certain vocational programs.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