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rom November through December of each budget development year, we request budget input from our Budget Supervisors which includes building-level administration.  The staffing needs are identified by Central Office Administrators based on programmatic requirements, student instructional needs/desires, input from Coordinators and Directors, student enrollment and any other State or Federal mandates. We also look at trending in actual budget expenditures over a period of approximately five prior years to identify what a future budget need would reasonably be.  Throughout the budget development process, the Board of Education actively engages the community in a series of budget workshops to ensure public input is also garnered. Both of the District's high schools offer comparable programs with the same set of expectations of staff and students. Both of the District's middle schools offer comparable programs with the same expectations of staff and students.  All five of the District's elementary schools offer comparable programs with the same expectations of staff and students.  If a particular building is hosting a specialized District-wide program for a certain sub-set of students (i.e. an intensive program class for special education students), the "host" building will be selected based on physical facility capacity for the class, student enrollment, and staffing requirements/services which may already exist at the building.  It is important to note that additional unanticipated expenses were incurred in the form of various instructional modalities in the 2020-2021 school year due in response to COVID-19 and the need to address learning needs of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lease see above regarding specialized District-wide programs which may be housed at an individual building due to a variety of reas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