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eeds of each school building is the primary driver for allocation of funds between grade levels. This may change year to year as student needs are ever changing as well. The demographic and educational challenges of certain cohorts are the focus when building and targeting funds to best address these needs. The oversight of the Superintendent and administrative leadership in each building, along with recommendations of counseling and curricular development faculty are all taken into account when allocating funds. Therefore, we have no specific allocation methodology other than individual student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tudent with disabilities population for our district changes each year, and is divided differently among our school buildings, depending on each cohort moving up, moving in to our district, or having changes to IEP's. Therefore, the fluid nature of this demographic has the potential of fluctuating expenses from year to year and by building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