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We first get our overall direction from the BoE sometime in January. After receiving input from the teachers on their expected spend, we factor in any new rate increases for health, dental, etc compared to previous year spending rates. The current actual trend rate is reviewed and compared to the current budget. The biggest driver is salaries which are reviewed against the teacher's contract.  The first iteration is presented to the board in March and it is tweaked several times until  finally approved by the board in April, which is then presented to the taxpayers for vote approval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