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set goals annually. The Superintendent and Assistant Superintendent meet to define budget strategies which will meet these goals. For instance this year, the district is implementing a new reading program. The budget process goes from November to April.  The building principals and other administrators have budget meetings to discuss their upcoming needs and visions. The building principals each have a budget as does the special ed director, the athletic director and facilities director. The Assistant Superintendent creates a rollover budget and then looks at external considerations such as contracts, health insurance, transportation and retirement contributions. The tax effect on the community is a large consideration.  There are community workshops for community input. Budget presentations are held at the Board meetings from January to April where the Board and community can give input.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Two of the district buildings are significantly older than Grady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