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with input from the Superintendent, Director of Special Education and Building Principal.  Salary and Fringe estimates are made in October with requests from each of our employees for supplies and equipment needed to run their classroom/department in November/December timeframe.  The Business Manager presents a draft budget to the Board of Education in January for discussion and adjustments based on student enrollment and individual student needs.  The Board of Education approves the budget looking at both staffing and level of spending and sets the tax levy limit.  We are a Pre-K through 12 building so we do not use any formula for weighting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