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Building budgets are developed using current program and enrollment data as well as student success rates.  Additional costs are considered on an annual basis to address program enhancements as well as any weaknesses, if identified.    Negotiated increases for building staff as well as general and instructional supply allocations for each staff member are also a consideration in individual building budgets. The district has established a District-wide supply and equipment line to support one time building/program needs/improvements.  The district budgets in a manner to protect unanticipated enrollment and staffing changes mid-year and utilizes any yearend excess fund balance to secure reserves for the future financial stability of the district.   We work to offset increases within the budget with reductions in other areas to stay within the allowable tax levy limit calculation.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Cassavant Elementary and Freeville Elementary do not need/have extensive Special Education costs due to the enrollment size and demographics of those two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 portion of the District's 3 year ARPA/CRRSAA allocations are budgeted in the  F fund this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