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has not changed for the District. The same methodology and approach is still in effect, namely, funding allocations are based on number of students and needs of the building. It is an interactive process between the Central Office Administrators, Building Level Administrators, staff, Board of Education and the Community. This annual process includes a review of each building's needs and distributes resources accordingly based on students' needs and class sizes. Our curriculum and programs in each of our schools are aligned and balanced so students graduate with the skills needed to succeed in college or the work place. Each principal advocates for their respective building, which allows us to maintain a consistent balance in each of our schools that provides students with a viable educational program. The only budgetary items that determined formulaically are supplies and equipment which are allocated based on student enrollment in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