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the Business Official.  The Executive Director of Learning and the Special Education Director are closely consulted throughout the process, and they work closely with the Principals, Curriculum Coordinators and Grade Level Leaders to assess the needs of the District Programs.  The Business Official works closely with the Support Service team, including the Director of Transportation, Director of Buildings &amp; Grounds, the IT Director and Cafeteria Manager, to ensure the needs of the District are met.  On a perpetual basis, student performance data is analyzed, as well as demographic, socio-economic and emotional needs.  The budget development process begins in November and culminates with a budget vote in May, and if necessary, a re-vote in June.  A budget development calendar that reflects this timeline is created by the Superintendent and Business Official and approved by the Board of Education in October.  Throughout the budget cycle the Board is updated on the challenges and progress through presentations and correspondence with the Superintendent.  Ultimately, the budget is approved by the Board prior to the budget vote.  Since the District only consists of one Elementary School, one Middle School and one High School, allocation of funds does not have to be distributed between multiple schools per grade band, rather allocations of supplies and materials and contractual expenses are based on student counts and the individual goals of the building leaders.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