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process funding for textbooks, supplies and materials for Art, Music, and Athletics are allocated to the schools on a per pupil basis using the next year’s projected enrollment. Contractual services are budgeted on the basis of continuing needs. Other expenses for BOCES, administrative expenses, debt, salary, benefits, and other district wide codes are budgeted by the business office using estimated expenses and prior year actuals.  Special Education and ELL expenses are budgeted by the PPS office using individual student projected expenses.  This is reflected in both the required staffing levels at the respective buildings as well as in any needed out-of-district program expenses. Building budgets, Transportation, Facilities, Personnel, Board of Ed, Curriculum and Instruction, are all budgeted by the respective administrator in charge, based on a review of projected expenses with reference to prior year’s actual expenses. For most departments, the 2020-21 budget was built on a zero-based budgeted process. The school buildings are provided a total amount “guide” that is on a per pupil basis with adjustments annually for enrollment changes as well as a CPI increase. Any recommendations for new programs and/or changes in staffing levels are submitted to the Deputy Superintendent.  These changes are reviewed with the District Cabinet with recommendations ultimately being made to the Board of Education. All equipment requests are accompanied by detailed information in the budget code which specifies if it is new or replacement equipment and, if replacement, a description of what it is replacing.  Salaries and benefits increases are based on contractual obligations with modifications for any known specific changes in personnel (i.e. a retirement).  From an overall budgeting perspective the major controls regarding the overall framework of the budget include: the NYS tax cap, the projected state aid (initially based on the governor’s budget and ultimately the budget approved by the legislature) as well as a sustainable inclusion of savings (fund balance and/or reserves).  We continue to make a concerted effort again to develop a budget that minimizes any variance from the actual expenditures while at the same time including monies for unknown contingencies.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utilizes a neighborhood concept and has 6, relatively small K-3 buildings.  For students who receive special services (i.e. SWD or ELL) there is some cohorting in specific buildings to provide efficient delivery of appropriate services.  For example Seneca Elementary is provides services for most of the ELL students.  Although Special Ed is in every K-3 building, there will be clusters of ICT and self-contained classes in grades/buildings in order to provide services and for inclusion purposes.  This continues at the 4-6 level (but is less pronounced) with Iroquois and Rogers Middle schools.  Iroquois educates more of the ELL students whereas Rogers has more self-contained SWD classrooms.  At 7-12 all students are housed in a single building (7/8 at Dake and 9-12 Irondequoit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