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asst. supt. for business lead the budget development process which begins in October and ends with a proposed budget in March for the board to review.  We follow a budget calendar that is developed in August of each year and approved by the board.  This is shared with building principals, directors and other assistant superintendents.  New staff requests, supplies, equipment and other requests are developed by the principals, directors and superintendents and submitted in January to the assistant superintendent for business.  The student needs are addressed by each building and department based on the curriculum based instruction, number of students per classroom and a zero based budget.  Once the budget is projected, it is presented to the board of education and they adopt the budget in April. We do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experienced a reduction in staff for the past 2 years and in the current year.  This is due to a retirement incentive offered in the teaching contract as of 2017-18 school year.  The results of this are a reduction in the costs for the salary through out the district and the Round Hill elementary building had a large number of staff retire or transfer and the replacements were lower on the salary schedules.  The costs for the high school building per student are higher than the other buildings due to the number of staff that have longevity with the district.  In addition, we offer block scheduling and this can lead to requiring more staff than on a regular schedule.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experienced a large increase in the special education population.  This is due to a number of new families moving in to the district with prior classification and the changing demographics.  There has been a movement of parentally placed parochial student families into the district and a large amount of these students have special needs.  This has driven up our expenses in the special education area.  In addition, we have aging technology and due to Covid 19 and the change to remote learning, the district has increased these line items.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