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With approximately 60% of our budget consisting of personnel and fringe benefits, we begin the budget process on staffing.  Regular education staffing is based on enrollment, with input from the Director of Curriculum &amp; Instruction, as well as the building principals.  Special Education staffing is allocated to schools based on the number of special needs student per building, with input from the Director of Special Education.  Staffing for our ENL population is done in the same manner stated above.  Our main goal is to keep class sizes to numbers that are conducive to meeting the educational needs of students, and give equal amounts of support staff to each building.  Once staffing is complete we calculate our employees fringe benefits.  We base these on the estimated contribution rates we receive from NYS Teachers, and Employees retirement systems.  Then we meet with our Health Insurance carrier to review our cost.  The next step is to review our transportation costs, debt service costs, and our BOCES costs as these are a high percentage of our total budget.  Then administrators/directors meet to discuss the needs of each building and department.  Supplies and materials are allocated based on student needs, and academic programs offered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factor which explains why per pupil spending would vary is due to staffing.  Salaries and benefits for more senior staff would be dramatically higher than new staff.  We also serve a large population of refugees, immigrants, and special needs students, and the cost of providing educational services is much higher.   Based upon the residency of these students, this could dramatically increase the cost of per pupil spending at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 not feel there are any items beyond the Excel entries.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