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Union-Endicott funds are allocated focusing on a variety of factors. Allocations to each school are based on student population and class size ratios, which are outlined by the teacher contract.  Special education allocations are based on students with disabilities enrollment and IEP services.  ELL allocations are based on required services per SED.  Title I funding is allocated to each school based on per-pupil amount.  611 and 619 funding are based on students with disabilities programming and services at each of the buildings.  Community schools funding is allocated district-wide, with one FTE being shared among the four elementary schools, one at the middle school and one at the high school.  Other grant funding is specific to the funding allocations outlines by NYS Education Department.  Each year, the central office administration meet with building leaders to review current data and develop a list of needs for academic needs and programs that would benefit the progress of district students.  The budget is reviewed with each of the building leaders looking for consistency and any special needs that may have surfaced.  Working closely with the accountant and the BOCES Central Business Office, a draft budget is prepared and shared through a series of budget workshops with the Board of Education.  As the allocations are finalized from NYS, the Board makes a final decision on the budget and sends it to the community for the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LWW "Tiger Ventures" is a unique school, just 4 years old, that houses grades 8-12 as a nontraditional high school.  It has a very low enrollment by design to maximize instruction.  Due to this small student body, and the special services some of them require, the cost per pupil is higher than the other district schools.  In addition, this year, the decision was made to transfer the three 12:1:1 classes that were in the elementary wing to another elementary school in district and use the wing to house outside UPK and BOCES Crossroads programming.  Some other variances in the per pupil expenditures are related to the number of new teachers hired at the school costing less than veteran teachers.  One building has all the K-5 ENL program housed at their site, while two other buildings have the K-3 and 3-5 12:1:1 programs.  These programs have a variance of cost to them including the need for specialized teachers and service providers.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is not applicable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