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administrator lead the budget development process each year.  The administrative team plays an important role, primarily in terms of staffing for each building.  Depending on building level enrollment, and the needs and wants of each building, we weigh those needs and wants against the larger budgetary issues such as state aid and tax levy threshold.  The principals typically advocate for each of their buildings - based on what is best for students - and we then make final decisions before submitting our plan to the Board and the public.  The budgeting process begins in earnest in December each year, and we list all of the building's "wants" on a virtual whiteboard at our administrative team budget meeting.  Over the course of several weeks, we then meet with each building principal individually, as well as the varying department heads to determine their building and department-level priorities.  At some point, the Superintendent and I have additional administrative team meetings to discuss budget constraints. Ultimately, final decisions are made as to what will lead to the best outcomes for students.  It is a collaborative process that uses the previous year's budget figures (and staffing totals) as the baseline to work from.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 would only say the respective numbers of special education students within each school building will have an impact on the per-pupil spending figures for each building.  Since special education (SWD) costs are greater than regular education costs, this is often a key metric that affects the per-pupil spending of a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