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Troy CSD does not have a specific local formula for allocating funding to each school building.  The District is comprised of 8 buildings – five elementary, one middle school, one high school, and one alternative program.  In addition, the District budgets programmatic services of information technology (IT), special programs, buildings and grounds, athletics, and central/business office services.  Each building/program begins their budgets in late fall. Budget requests are presented to district cabinet members, comprised of the Superintendent, Assistant Superintendents, and HR Director.  A list of program academic priorities is developed.  Certain academic and programming needs are developed based upon current performance indicators, while others are district-wide initiatives.  Once the State Budget is passed the District then finalizes any budget changes with building leaders prior to official adoption by the BOE, and presentation to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Troy CSD receives certain building specific grants, such as at School 2 or Troy Middle School 21st Century Program that increases the per-pupil allocations.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