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board function.  The district partners with various stakeholder groups (i.e. board of education, administrators, teachers and support union representatives, parent and community members) as we build the annual budget.  The business office provides trend data for all budget codes and detailed information for any code that does not follow a certain trend or that may be in question by a stakeholder.  The enrollment for each grade is reviewed with census data being taken into account for incoming pre-kindergarten and kindergarten classes.  While a specific formula is not used, the budget is built on student need with a focus on both academic and social well-being.  
</w:t>
      </w:r>
    </w:p>
    <w:p>
      <w:pPr>
        <w:ind w:left="720"/>
      </w:pPr>
      <w:r>
        <w:rPr>
          <w:rFonts w:ascii="Garamond" w:hAnsi="Garamond"/>
        </w:rPr>
        <w:t>
</w:t>
      </w:r>
    </w:p>
    <w:p>
      <w:pPr>
        <w:ind w:left="720"/>
      </w:pPr>
      <w:r>
        <w:rPr>
          <w:rFonts w:ascii="Garamond" w:hAnsi="Garamond"/>
        </w:rPr>
        <w:t>The budget process generally begins in December with trend data reports being prepared by the business office.  The board of education then holds several budget workshops to allow any party to come forward with specific issues or concerns they see within the district that may need to be addressed via a budget line item.  The superintendent holds meetings with various faculty stakeholders groups to identify any areas of concern they may want reviewed as part of the budget process and communicates this information to the board of education.   The individual building and departments are represented by their respective administrator and supervisors who present any specific departmental need as part of their stakeholder meeting.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