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led by the Superintendent of Schools supported by the Assistant Superintendent for Business in collaboration with the Board of Education. The process begins in November and lasts through the budget vote in May. Monthly budget workshops are held. The district also uses Audit Committee and Budget Committee meetings to discuss budget topics. Weekly management meetings are held throughout the budget cycle with the district leadership team to analyze student and staff needs. The needs of the buildings are represented by the principals and Assistant Superintendent for Curriculum. Staff are also given the opportunity to submit budget requests for consideration based on their student population.  Staff may also make public presentations to the BOE to discuss budget requests and document need.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district's poverty rate hovers around 60% and is increasing, however, the district is considered land wealthy due to the high proportion of second homes and high property values. Many of the disadvantaged children who attend school in the district do not own property.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