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Funding allocations are based upon the number of students and the programming in each of the District's buildings.  Each of the building administrators and the Board of Education are involved in the decision making process.
</w:t>
      </w:r>
    </w:p>
    <w:p>
      <w:pPr>
        <w:ind w:left="720"/>
      </w:pPr>
      <w:r>
        <w:rPr>
          <w:rFonts w:ascii="Garamond" w:hAnsi="Garamond"/>
        </w:rPr>
        <w:t>
</w:t>
      </w:r>
    </w:p>
    <w:p>
      <w:pPr>
        <w:ind w:left="720"/>
      </w:pPr>
      <w:r>
        <w:rPr>
          <w:rFonts w:ascii="Garamond" w:hAnsi="Garamond"/>
        </w:rPr>
        <w:t>In the District's budget process, the District considers internal and external factors such as State Aid cuts, Tax Cap restrictions, Fund balance projections, contractually obligated salary increases, teacher and support staff retirements, student performance by grade level, special education student counts, private placement tuition, student enrollment, anticipated class sizes, mandated IEP services, increases in the District contracted Transportation contract, BOCES cost increases, reviewing the required 5-year financial projection for for future costs, scheduled Debt service payments, changes in the requirements for Section 4408 12-month students, prevailing interest rates for investments, statutory reserve balance considerations, increases in District Health insurance rates, projections of energy costs, worldwide oil cost fluctuations to estimate per gallon fuel costs, opportunities to share services with other Districts, District initiatives such as Project Lead the Way, new unfunded State mandates, enrollment counts at private/parochial school to estimate Health Services bills and arange mandated transportation, changes to GASB standards that require additional actuarial costs and setting aside funds for unplanned emergencies such as Covid-19.</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