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Business official leads the budget development process. Budget request forms are provided to employees (teachers, staff) in late November. The forms are filled out and provided to their department head (Principals, Director of PPS, Athletics, Music, Technology and Director of Facilities). Department heads review their requests and provides their budget to the business official by January 15. Funds are not allocated using a formula but rather a zero based budget approach. A request for an increase in funds needs to be substantiated by some type of proof such as an increase in enrollment. Each department head is responsible for their student and building needs. For example, the elementary principal is responsible for K-6 and the Director of PPS is responsible for students such as students with disabilities and English language learners. The business official and the Superintendent meet with each department head to review their budget. By February 15, a draft of the budget is provided to the Board of Education. Several budget workshops are held with the Board from January to May and provided with detailed support for the various components of the budget. The Board approves the budget in April and the budget is voted on by the taxpayers in May.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