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early October and goes through March.  All district and building leaders are involved in the budget development process.  The Board of Education establishes the priorities for budget development and strategic planning.  The district uses a variety of data to craft the school budget, in terms of reviewing historical trends on spending across major categories of expense in total, and by building/department; revenue projections and actual receipts, Budgeted expense vs. actual expense, and collecting input from our building and departmental leaders on their needs for the following year. Using multiple sources of data and analyses, and garnering a variety of perspectives on needs for the following year based on program, enrollment changes, demographics of students, new initiatives and/or staffing changes allows the district to take a holistic approach to crafting a budget that serves the needs of our buildings and departments, but also is crafted within the context of historical and future trends. Further, if there are new State and/or Federal mandates and/or State Aid changes, we incorporate these items into our planning and analyses. Mandates and contractual obligations (i.e. collective bargaining agreements), contributions to retirement systems, and benefits make up approximately 85% of our total budgetary dollars, leaving only a small portion of budgetary dollars at our discretion. Parallel to the single year budget development process, we work to update our strategic plan which incorporates our long range financial plan, educational plan, and capital plan to ensure alignment and connectivity to our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