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process is led by the Superintendent and the Assistant Superintendent for Finance. The Budget from the previous year is analyzed to determine where the budget is overfunded or underfunded based on needs of each school. Each principal is required to request budget allocations in the new year if they are different from the current year and the justification for each. The requests are then compared to the prior and current year spending to determine large swings in the budget. Additionally, any requests are compared with funding and staffing compared with other buildings to insure equitable funding and opportunities are provided to each school. The Board of Education is provided a breakdown of contractual increases versus requests and/or strategic planning so that they understand which costs are mandated and which are flexible.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Title I schools include Arongen, Shatekon, Okte and Koda.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3 elementary schools that are connected with sister schools in that the buildings are literally 1 facility with 2 schools operating under 1 roof. These are Skano/Tesago, Karigon Orenda, and Arongen/Shatekon. In some cases, there may be shared operations to create efficiencies.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