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Board has a Budget sub-Committee. The committee reviews texts/supply/equipment/contracted services requests for all five elementary schools, one middle school and one high school. The committee realizes that the high school would have some greater costs for text, science, technology equipment etc. They also agreed that the specific requests in each elementary school should be reviewed and the ultimate recommendation would be based on both specific school needs and a comparison to the needs of the other four elementary schools. It was determined that the middle school recommendations would be greater than the elementary and less than the high school. The committee made this recommendation to the full BOE who agreed to the thought process/rationale.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While not significantly higher, it should be noted all buildings are staffed based on a Board of Education class size policy. Thus elementary schools with less children have less staff. Schools with Special Education students, in self contained classes, particularly Guggenheim Elementary and Daly Elementary have a higher per pupil cost based on additional services provided. Certain elementary schools have greater ELL students and staffing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