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process is lead collaboratively by the District Superintendent and his cabinet working closely with the Board of Education.  The Associate Superintendent for Business Services plays a significant role in the administration of the budget process.  The first major milestone is the proposal of a budget calendar developed by the superintendent’s cabinet.  The Board approves the budget calendar in October of each year.  The process takes from October through the budget vote in May.  The Board is given Monthly status of the Budget process from October through December and twice a month status from January through May.  The Board has a budget subcommittee that meet frequently throughout the process to evaluate progress.  Resources are generally allocated based on the student enrollment with consideration for the unique needs of the student population.  Grant funds are allocated to directly to individual schools based on grant eligibility of the school.  One factor that clouds the picture is the cost of staff is dependent on their years of experience so it may appear that one building is receiving greater resources due to having a more mature staff.  All staff have input into the process through their building principals and or their academic director.</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As mentioned above staff experience level drives compensation and can influence spending per pupil. Also grant funding is directly related to the needs of the school and will impact spending per pupil.  We have 2 elementary school where we focus on our ELL’s and these staffing is in place to support these students.  We also have a few schools where we run unique, higher cost special education programs that drive up the spending per pupil in these schools.  Finally, we have worked hard to drive down our class sizes, particularly in school with higher free and reduced lunch rates.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