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formula to allocate funds to the 7 schools that we have. The building principals and directors meet with the Assistant Supt. for Business to go over their plan and needs for the following school year. Staffing needs are also done with the Assistant Supt for Personnel and the Superintendent. Once all the figures are rolled up and analyzed including State aid and our tax cap number we will have numerous presentations to the Board of Education and the community. Unfortunately the tax cap has driven the budget process since there are many programs that we would like to initiate we can not go over the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