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New Hartford Central School District’s approach to allocation of funding for each school building is based on student enrollment and specialized programs within the specific buildings. This is supported during the budget development process involving multiple constituents. The Board of Education and Administration work collaboratively throughout the school year to develop a fair and equitable budget that provides for the needs of all students while maintaining fiscal responsibility. Class sizes have been kept at traditional levels to promote quality instruction and is determined by Board Policy based on the range and number of students per grade level. Special Education needs are determined by each student’s individual educational plan vetted through the District’s Committee on Special Education. Expenses associated with these needs are then allocated to the building that the child is being served. Our District provides a standardized, district-wide guaranteed and viable curriculum that supports all learners K-12.</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yles Elementary School has the lowest enrollment of the three elementary schools and the highest percentage of students that qualify for Free and Reduced Price Lunch. In addition, it houses the only ENL program and the only 12:1:1 program for all District students in grades K-6. The district-wide 12:1:4 Developmental Program for students K-6 is based out of Bradley Elementary School. All of these factors contribute to higher than average pupil spending in those buildings. Federal/State Grant monies are allocated to the buildings that serve the population covered under the specific grant. For example, Title 1 Part A grant monies are allocated according to the staffing that supports the student needs at each of the three buildings that qualify based on FRPL. It provides academic support at Myles Elementary School, Perry Jr. High School, and the New Hartford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